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F58" w:rsidRPr="00392A2A" w:rsidRDefault="00392A2A" w:rsidP="00392A2A">
      <w:pPr>
        <w:jc w:val="center"/>
        <w:rPr>
          <w:rFonts w:ascii="Times New Roman" w:eastAsia="標楷體" w:hAnsi="Times New Roman" w:cs="Times New Roman"/>
          <w:b/>
          <w:sz w:val="32"/>
        </w:rPr>
      </w:pPr>
      <w:r w:rsidRPr="00392A2A">
        <w:rPr>
          <w:rFonts w:ascii="Times New Roman" w:eastAsia="標楷體" w:hAnsi="Times New Roman" w:cs="Times New Roman"/>
          <w:b/>
          <w:sz w:val="32"/>
        </w:rPr>
        <w:t>2014</w:t>
      </w:r>
      <w:r w:rsidRPr="00392A2A">
        <w:rPr>
          <w:rFonts w:ascii="Times New Roman" w:eastAsia="標楷體" w:hAnsi="Times New Roman" w:cs="Times New Roman"/>
          <w:b/>
          <w:sz w:val="32"/>
        </w:rPr>
        <w:t>年台灣藥學會年會暨學術研討會</w:t>
      </w:r>
    </w:p>
    <w:p w:rsidR="00392A2A" w:rsidRPr="00D80EBC" w:rsidRDefault="00392A2A" w:rsidP="00392A2A">
      <w:pPr>
        <w:jc w:val="center"/>
        <w:rPr>
          <w:rFonts w:ascii="標楷體" w:eastAsia="標楷體" w:hAnsi="標楷體"/>
          <w:b/>
          <w:sz w:val="28"/>
        </w:rPr>
      </w:pPr>
      <w:r w:rsidRPr="00D80EBC">
        <w:rPr>
          <w:rFonts w:ascii="標楷體" w:eastAsia="標楷體" w:hAnsi="標楷體" w:hint="eastAsia"/>
          <w:b/>
          <w:sz w:val="28"/>
        </w:rPr>
        <w:t>摘要投稿 製作要點與範例</w:t>
      </w:r>
    </w:p>
    <w:p w:rsidR="00392A2A" w:rsidRPr="00D80EBC" w:rsidRDefault="00392A2A" w:rsidP="00D80EBC">
      <w:pPr>
        <w:pStyle w:val="a6"/>
        <w:spacing w:line="320" w:lineRule="exact"/>
        <w:ind w:left="480" w:hanging="240"/>
        <w:jc w:val="both"/>
        <w:rPr>
          <w:rFonts w:eastAsia="標楷體"/>
          <w:color w:val="000000" w:themeColor="text1"/>
          <w:sz w:val="24"/>
        </w:rPr>
      </w:pPr>
      <w:r w:rsidRPr="00D80EBC">
        <w:rPr>
          <w:rFonts w:eastAsia="標楷體"/>
          <w:color w:val="000000" w:themeColor="text1"/>
          <w:sz w:val="24"/>
        </w:rPr>
        <w:sym w:font="Wingdings 2" w:char="F075"/>
      </w:r>
      <w:r w:rsidRPr="00D80EBC">
        <w:rPr>
          <w:rFonts w:eastAsia="標楷體"/>
          <w:color w:val="000000" w:themeColor="text1"/>
          <w:sz w:val="24"/>
        </w:rPr>
        <w:t>中文標題（</w:t>
      </w:r>
      <w:r w:rsidR="00D80EBC" w:rsidRPr="00D80EBC">
        <w:rPr>
          <w:rFonts w:eastAsia="標楷體"/>
          <w:color w:val="000000" w:themeColor="text1"/>
          <w:sz w:val="24"/>
        </w:rPr>
        <w:t>中文標楷體</w:t>
      </w:r>
      <w:r w:rsidR="00D80EBC" w:rsidRPr="00D80EBC">
        <w:rPr>
          <w:rFonts w:eastAsia="標楷體"/>
          <w:color w:val="000000" w:themeColor="text1"/>
          <w:sz w:val="24"/>
        </w:rPr>
        <w:t>14</w:t>
      </w:r>
      <w:r w:rsidR="00D80EBC" w:rsidRPr="00D80EBC">
        <w:rPr>
          <w:rFonts w:eastAsia="標楷體"/>
          <w:color w:val="000000" w:themeColor="text1"/>
          <w:sz w:val="24"/>
        </w:rPr>
        <w:t>號字</w:t>
      </w:r>
      <w:r w:rsidR="00E1443A">
        <w:rPr>
          <w:rFonts w:eastAsia="標楷體" w:hint="eastAsia"/>
          <w:color w:val="000000" w:themeColor="text1"/>
          <w:sz w:val="24"/>
        </w:rPr>
        <w:t>或</w:t>
      </w:r>
      <w:r w:rsidR="00E1443A" w:rsidRPr="00D80EBC">
        <w:rPr>
          <w:rFonts w:eastAsia="標楷體"/>
          <w:color w:val="000000" w:themeColor="text1"/>
          <w:sz w:val="24"/>
        </w:rPr>
        <w:t>英文</w:t>
      </w:r>
      <w:r w:rsidR="00E1443A" w:rsidRPr="00D80EBC">
        <w:rPr>
          <w:rFonts w:eastAsia="標楷體"/>
          <w:color w:val="000000" w:themeColor="text1"/>
          <w:sz w:val="24"/>
        </w:rPr>
        <w:t>Times New Roman 1</w:t>
      </w:r>
      <w:r w:rsidR="002C0371">
        <w:rPr>
          <w:rFonts w:eastAsia="標楷體" w:hint="eastAsia"/>
          <w:color w:val="000000" w:themeColor="text1"/>
          <w:sz w:val="24"/>
        </w:rPr>
        <w:t>4</w:t>
      </w:r>
      <w:r w:rsidR="00E1443A" w:rsidRPr="00D80EBC">
        <w:rPr>
          <w:rFonts w:eastAsia="標楷體"/>
          <w:color w:val="000000" w:themeColor="text1"/>
          <w:sz w:val="24"/>
        </w:rPr>
        <w:t>號字</w:t>
      </w:r>
      <w:r w:rsidR="00D80EBC" w:rsidRPr="00D80EBC">
        <w:rPr>
          <w:rFonts w:eastAsia="標楷體"/>
          <w:color w:val="000000" w:themeColor="text1"/>
          <w:sz w:val="24"/>
        </w:rPr>
        <w:t>，粗體，</w:t>
      </w:r>
      <w:r w:rsidR="00E1443A" w:rsidRPr="00D80EBC">
        <w:rPr>
          <w:rFonts w:eastAsia="標楷體"/>
          <w:color w:val="000000" w:themeColor="text1"/>
          <w:sz w:val="24"/>
        </w:rPr>
        <w:t>英文除第一字母或專有名詞大寫外其餘小寫</w:t>
      </w:r>
      <w:r w:rsidR="00E1443A">
        <w:rPr>
          <w:rFonts w:ascii="新細明體" w:hAnsi="新細明體" w:hint="eastAsia"/>
          <w:color w:val="000000" w:themeColor="text1"/>
          <w:sz w:val="24"/>
        </w:rPr>
        <w:t>，</w:t>
      </w:r>
      <w:r w:rsidR="00D80EBC" w:rsidRPr="00D80EBC">
        <w:rPr>
          <w:rFonts w:eastAsia="標楷體"/>
          <w:color w:val="000000" w:themeColor="text1"/>
          <w:sz w:val="24"/>
        </w:rPr>
        <w:t>置中對齊</w:t>
      </w:r>
      <w:r w:rsidRPr="00D80EBC">
        <w:rPr>
          <w:rFonts w:eastAsia="標楷體"/>
          <w:color w:val="000000" w:themeColor="text1"/>
          <w:sz w:val="24"/>
        </w:rPr>
        <w:t>）。</w:t>
      </w:r>
    </w:p>
    <w:p w:rsidR="00392A2A" w:rsidRPr="00D80EBC" w:rsidRDefault="00454ABC" w:rsidP="00D80EBC">
      <w:pPr>
        <w:pStyle w:val="a6"/>
        <w:spacing w:line="320" w:lineRule="exact"/>
        <w:ind w:left="480" w:hanging="240"/>
        <w:jc w:val="both"/>
        <w:rPr>
          <w:rFonts w:eastAsia="標楷體"/>
          <w:color w:val="000000" w:themeColor="text1"/>
          <w:sz w:val="24"/>
        </w:rPr>
      </w:pPr>
      <w:r>
        <w:rPr>
          <w:rFonts w:eastAsia="標楷體"/>
          <w:color w:val="000000" w:themeColor="text1"/>
          <w:sz w:val="24"/>
        </w:rPr>
        <w:sym w:font="Wingdings 2" w:char="F076"/>
      </w:r>
      <w:r w:rsidR="00392A2A" w:rsidRPr="00D80EBC">
        <w:rPr>
          <w:rFonts w:eastAsia="標楷體"/>
          <w:color w:val="000000" w:themeColor="text1"/>
          <w:sz w:val="24"/>
        </w:rPr>
        <w:t>作者姓名（</w:t>
      </w:r>
      <w:r w:rsidR="00D80EBC" w:rsidRPr="00D80EBC">
        <w:rPr>
          <w:rFonts w:eastAsia="標楷體"/>
          <w:color w:val="000000" w:themeColor="text1"/>
          <w:sz w:val="24"/>
        </w:rPr>
        <w:t>標楷體或</w:t>
      </w:r>
      <w:r w:rsidR="00D80EBC" w:rsidRPr="00D80EBC">
        <w:rPr>
          <w:rFonts w:eastAsia="標楷體"/>
          <w:color w:val="000000" w:themeColor="text1"/>
          <w:sz w:val="24"/>
        </w:rPr>
        <w:t>Times New Roman 1</w:t>
      </w:r>
      <w:r w:rsidR="00E1443A">
        <w:rPr>
          <w:rFonts w:eastAsia="標楷體" w:hint="eastAsia"/>
          <w:color w:val="000000" w:themeColor="text1"/>
          <w:sz w:val="24"/>
        </w:rPr>
        <w:t>2</w:t>
      </w:r>
      <w:r w:rsidR="00D80EBC" w:rsidRPr="00D80EBC">
        <w:rPr>
          <w:rFonts w:eastAsia="標楷體"/>
          <w:color w:val="000000" w:themeColor="text1"/>
          <w:sz w:val="24"/>
        </w:rPr>
        <w:t>號字，置中對齊，報告作者畫底線，通訊作者加</w:t>
      </w:r>
      <w:proofErr w:type="gramStart"/>
      <w:r w:rsidR="00D80EBC" w:rsidRPr="00D80EBC">
        <w:rPr>
          <w:rFonts w:eastAsia="標楷體"/>
          <w:color w:val="000000" w:themeColor="text1"/>
          <w:sz w:val="24"/>
        </w:rPr>
        <w:t>註</w:t>
      </w:r>
      <w:proofErr w:type="gramEnd"/>
      <w:r w:rsidR="00D80EBC" w:rsidRPr="00D80EBC">
        <w:rPr>
          <w:rFonts w:eastAsia="標楷體"/>
          <w:color w:val="000000" w:themeColor="text1"/>
          <w:sz w:val="24"/>
        </w:rPr>
        <w:t>*</w:t>
      </w:r>
      <w:r w:rsidR="00392A2A" w:rsidRPr="00D80EBC">
        <w:rPr>
          <w:rFonts w:eastAsia="標楷體"/>
          <w:color w:val="000000" w:themeColor="text1"/>
          <w:sz w:val="24"/>
        </w:rPr>
        <w:t>）。</w:t>
      </w:r>
    </w:p>
    <w:p w:rsidR="00392A2A" w:rsidRPr="00D80EBC" w:rsidRDefault="00454ABC" w:rsidP="00D80EBC">
      <w:pPr>
        <w:pStyle w:val="a6"/>
        <w:spacing w:line="320" w:lineRule="exact"/>
        <w:ind w:left="480" w:hanging="240"/>
        <w:jc w:val="both"/>
        <w:rPr>
          <w:rFonts w:eastAsia="標楷體"/>
          <w:color w:val="000000" w:themeColor="text1"/>
          <w:sz w:val="24"/>
        </w:rPr>
      </w:pPr>
      <w:r>
        <w:rPr>
          <w:rFonts w:eastAsia="標楷體"/>
          <w:color w:val="000000" w:themeColor="text1"/>
          <w:sz w:val="24"/>
        </w:rPr>
        <w:sym w:font="Wingdings 2" w:char="F077"/>
      </w:r>
      <w:r w:rsidR="00392A2A" w:rsidRPr="00D80EBC">
        <w:rPr>
          <w:rFonts w:eastAsia="標楷體"/>
          <w:color w:val="000000" w:themeColor="text1"/>
          <w:sz w:val="24"/>
        </w:rPr>
        <w:t>作者代表機構（</w:t>
      </w:r>
      <w:r w:rsidR="00D80EBC" w:rsidRPr="00D80EBC">
        <w:rPr>
          <w:rFonts w:eastAsia="標楷體"/>
          <w:color w:val="000000" w:themeColor="text1"/>
          <w:sz w:val="24"/>
        </w:rPr>
        <w:t>標楷體或</w:t>
      </w:r>
      <w:r w:rsidR="00D80EBC" w:rsidRPr="00D80EBC">
        <w:rPr>
          <w:rFonts w:eastAsia="標楷體"/>
          <w:color w:val="000000" w:themeColor="text1"/>
          <w:sz w:val="24"/>
        </w:rPr>
        <w:t>Times New Roman 10</w:t>
      </w:r>
      <w:r w:rsidR="00D80EBC" w:rsidRPr="00D80EBC">
        <w:rPr>
          <w:rFonts w:eastAsia="標楷體"/>
          <w:color w:val="000000" w:themeColor="text1"/>
          <w:sz w:val="24"/>
        </w:rPr>
        <w:t>號字，置中對齊</w:t>
      </w:r>
      <w:r w:rsidR="00392A2A" w:rsidRPr="00D80EBC">
        <w:rPr>
          <w:rFonts w:eastAsia="標楷體"/>
          <w:color w:val="000000" w:themeColor="text1"/>
          <w:sz w:val="24"/>
        </w:rPr>
        <w:t>）。</w:t>
      </w:r>
    </w:p>
    <w:p w:rsidR="00D80EBC" w:rsidRPr="00D80EBC" w:rsidRDefault="00454ABC" w:rsidP="00D80EBC">
      <w:pPr>
        <w:pStyle w:val="a6"/>
        <w:spacing w:line="320" w:lineRule="exact"/>
        <w:ind w:left="480" w:hanging="240"/>
        <w:jc w:val="both"/>
        <w:rPr>
          <w:rFonts w:eastAsia="標楷體"/>
          <w:color w:val="000000" w:themeColor="text1"/>
          <w:sz w:val="24"/>
        </w:rPr>
      </w:pPr>
      <w:r>
        <w:rPr>
          <w:rFonts w:eastAsia="標楷體"/>
          <w:color w:val="000000" w:themeColor="text1"/>
          <w:sz w:val="24"/>
        </w:rPr>
        <w:sym w:font="Wingdings 2" w:char="F078"/>
      </w:r>
      <w:r w:rsidR="00D80EBC" w:rsidRPr="00D80EBC">
        <w:rPr>
          <w:rFonts w:eastAsia="標楷體"/>
          <w:iCs/>
          <w:color w:val="000000" w:themeColor="text1"/>
          <w:sz w:val="24"/>
        </w:rPr>
        <w:t>本文</w:t>
      </w:r>
      <w:r w:rsidR="00D80EBC" w:rsidRPr="00D80EBC">
        <w:rPr>
          <w:rFonts w:eastAsia="標楷體"/>
          <w:iCs/>
          <w:color w:val="000000" w:themeColor="text1"/>
          <w:sz w:val="24"/>
        </w:rPr>
        <w:t xml:space="preserve"> (</w:t>
      </w:r>
      <w:r w:rsidR="00D80EBC" w:rsidRPr="00D80EBC">
        <w:rPr>
          <w:rFonts w:eastAsia="標楷體"/>
          <w:iCs/>
          <w:color w:val="000000" w:themeColor="text1"/>
          <w:sz w:val="24"/>
        </w:rPr>
        <w:t>標楷體或</w:t>
      </w:r>
      <w:r w:rsidR="00D80EBC" w:rsidRPr="00D80EBC">
        <w:rPr>
          <w:rFonts w:eastAsia="標楷體"/>
          <w:iCs/>
          <w:color w:val="000000" w:themeColor="text1"/>
          <w:sz w:val="24"/>
        </w:rPr>
        <w:t>Times New Roman 10</w:t>
      </w:r>
      <w:r w:rsidR="00D80EBC" w:rsidRPr="00D80EBC">
        <w:rPr>
          <w:rFonts w:eastAsia="標楷體"/>
          <w:iCs/>
          <w:color w:val="000000" w:themeColor="text1"/>
          <w:sz w:val="24"/>
        </w:rPr>
        <w:t>號字，內容</w:t>
      </w:r>
      <w:r w:rsidR="00D80EBC" w:rsidRPr="00D80EBC">
        <w:rPr>
          <w:rFonts w:eastAsia="標楷體"/>
          <w:color w:val="000000" w:themeColor="text1"/>
          <w:sz w:val="24"/>
        </w:rPr>
        <w:t>必須能納入下面</w:t>
      </w:r>
      <w:r w:rsidR="00D80EBC" w:rsidRPr="00D80EBC">
        <w:rPr>
          <w:rFonts w:eastAsia="標楷體"/>
          <w:color w:val="000000" w:themeColor="text1"/>
          <w:sz w:val="24"/>
        </w:rPr>
        <w:t>9</w:t>
      </w:r>
      <w:r w:rsidR="00D80EBC" w:rsidRPr="00D80EBC">
        <w:rPr>
          <w:rFonts w:asciiTheme="minorHAnsi" w:eastAsia="標楷體" w:hAnsiTheme="minorHAnsi"/>
          <w:color w:val="000000" w:themeColor="text1"/>
          <w:sz w:val="24"/>
        </w:rPr>
        <w:t xml:space="preserve"> x </w:t>
      </w:r>
      <w:r w:rsidR="00D80EBC" w:rsidRPr="00D80EBC">
        <w:rPr>
          <w:rFonts w:eastAsia="標楷體"/>
          <w:color w:val="000000" w:themeColor="text1"/>
          <w:sz w:val="24"/>
        </w:rPr>
        <w:t>16 cm</w:t>
      </w:r>
      <w:r w:rsidR="00D80EBC" w:rsidRPr="00D80EBC">
        <w:rPr>
          <w:rFonts w:eastAsia="標楷體"/>
          <w:color w:val="000000" w:themeColor="text1"/>
          <w:sz w:val="24"/>
        </w:rPr>
        <w:t>的方格中</w:t>
      </w:r>
      <w:r w:rsidR="00D80EBC" w:rsidRPr="00D80EBC">
        <w:rPr>
          <w:rFonts w:eastAsia="標楷體"/>
          <w:iCs/>
          <w:color w:val="000000" w:themeColor="text1"/>
          <w:sz w:val="24"/>
        </w:rPr>
        <w:t>為原則</w:t>
      </w:r>
      <w:r w:rsidR="00D80EBC" w:rsidRPr="00D80EBC">
        <w:rPr>
          <w:rFonts w:eastAsia="標楷體"/>
          <w:iCs/>
          <w:color w:val="000000" w:themeColor="text1"/>
          <w:sz w:val="24"/>
        </w:rPr>
        <w:t>)</w:t>
      </w:r>
    </w:p>
    <w:p w:rsidR="00392A2A" w:rsidRDefault="00392A2A"/>
    <w:p w:rsidR="00D80EBC" w:rsidRPr="005E39FF" w:rsidRDefault="00D80EBC">
      <w:pPr>
        <w:rPr>
          <w:rFonts w:ascii="標楷體" w:eastAsia="標楷體" w:hAnsi="標楷體"/>
        </w:rPr>
      </w:pPr>
      <w:r w:rsidRPr="005E39FF">
        <w:rPr>
          <w:rFonts w:ascii="標楷體" w:eastAsia="標楷體" w:hAnsi="標楷體" w:hint="eastAsia"/>
        </w:rPr>
        <w:t xml:space="preserve">範例: </w:t>
      </w:r>
    </w:p>
    <w:p w:rsidR="00392A2A" w:rsidRDefault="004D1692">
      <w:r>
        <w:rPr>
          <w:noProof/>
        </w:rPr>
        <w:pict>
          <v:rect id="矩形 1" o:spid="_x0000_s1026" style="position:absolute;margin-left:-19.65pt;margin-top:15.55pt;width:453pt;height:254.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" filled="f" strokecolor="black [3213]" strokeweight="2pt"/>
        </w:pict>
      </w:r>
    </w:p>
    <w:p w:rsidR="002C0371" w:rsidRPr="00970A0B" w:rsidRDefault="002C0371" w:rsidP="00970A0B">
      <w:pPr>
        <w:autoSpaceDE w:val="0"/>
        <w:autoSpaceDN w:val="0"/>
        <w:adjustRightInd w:val="0"/>
        <w:spacing w:line="240" w:lineRule="exact"/>
        <w:ind w:leftChars="-118" w:left="-283" w:rightChars="-82" w:right="-197"/>
        <w:jc w:val="center"/>
        <w:rPr>
          <w:rFonts w:ascii="Times New Roman" w:eastAsia="標楷體" w:hAnsi="Times New Roman" w:cs="Times New Roman"/>
          <w:kern w:val="0"/>
          <w:szCs w:val="24"/>
        </w:rPr>
      </w:pPr>
      <w:r w:rsidRPr="006061EE">
        <w:rPr>
          <w:rFonts w:ascii="Times New Roman" w:eastAsia="標楷體" w:hAnsi="Times New Roman" w:cs="Times New Roman"/>
          <w:b/>
          <w:kern w:val="0"/>
          <w:sz w:val="28"/>
          <w:szCs w:val="24"/>
        </w:rPr>
        <w:t>Adjuvant hormone therapy switched associated with higher chance of interruption in breast cancer women?</w:t>
      </w:r>
      <w:r w:rsidRPr="00970A0B">
        <w:rPr>
          <w:rFonts w:ascii="Times New Roman" w:eastAsia="標楷體" w:hAnsi="Times New Roman" w:cs="Times New Roman"/>
          <w:b/>
          <w:kern w:val="0"/>
          <w:szCs w:val="24"/>
        </w:rPr>
        <w:t xml:space="preserve"> </w:t>
      </w:r>
    </w:p>
    <w:p w:rsidR="002C0371" w:rsidRPr="00970A0B" w:rsidRDefault="002C0371" w:rsidP="00454ABC">
      <w:pPr>
        <w:autoSpaceDE w:val="0"/>
        <w:autoSpaceDN w:val="0"/>
        <w:adjustRightInd w:val="0"/>
        <w:spacing w:beforeLines="25" w:line="240" w:lineRule="exact"/>
        <w:ind w:leftChars="-118" w:left="-283" w:rightChars="-82" w:right="-197"/>
        <w:jc w:val="center"/>
        <w:rPr>
          <w:rFonts w:ascii="Times New Roman" w:eastAsia="標楷體" w:hAnsi="Times New Roman" w:cs="Times New Roman"/>
          <w:kern w:val="0"/>
          <w:szCs w:val="24"/>
        </w:rPr>
      </w:pPr>
      <w:r w:rsidRPr="00755B03">
        <w:rPr>
          <w:rFonts w:ascii="Times New Roman" w:eastAsia="標楷體" w:hAnsi="Times New Roman" w:cs="Times New Roman"/>
          <w:kern w:val="0"/>
          <w:szCs w:val="24"/>
          <w:u w:val="single"/>
        </w:rPr>
        <w:t>謝</w:t>
      </w:r>
      <w:r w:rsidR="00F240AB">
        <w:rPr>
          <w:rFonts w:ascii="標楷體" w:eastAsia="標楷體" w:hAnsi="標楷體" w:cs="Times New Roman" w:hint="eastAsia"/>
          <w:kern w:val="0"/>
          <w:szCs w:val="24"/>
          <w:u w:val="single"/>
        </w:rPr>
        <w:t>□□</w:t>
      </w:r>
      <w:r w:rsidRPr="00970A0B">
        <w:rPr>
          <w:rFonts w:ascii="Times New Roman" w:eastAsia="標楷體" w:hAnsi="Times New Roman" w:cs="Times New Roman"/>
          <w:kern w:val="0"/>
          <w:szCs w:val="24"/>
          <w:vertAlign w:val="superscript"/>
        </w:rPr>
        <w:t>1</w:t>
      </w:r>
      <w:r w:rsidRPr="00970A0B">
        <w:rPr>
          <w:rFonts w:ascii="Times New Roman" w:eastAsia="標楷體" w:hAnsi="Times New Roman" w:cs="Times New Roman"/>
          <w:kern w:val="0"/>
          <w:szCs w:val="24"/>
        </w:rPr>
        <w:t xml:space="preserve"> </w:t>
      </w:r>
      <w:r w:rsidR="007636CA">
        <w:rPr>
          <w:rFonts w:ascii="Times New Roman" w:eastAsia="標楷體" w:hAnsi="Times New Roman" w:cs="Times New Roman" w:hint="eastAsia"/>
          <w:kern w:val="0"/>
          <w:szCs w:val="24"/>
        </w:rPr>
        <w:t>Li-</w:t>
      </w:r>
      <w:r w:rsidR="00F240AB">
        <w:rPr>
          <w:rFonts w:ascii="標楷體" w:eastAsia="標楷體" w:hAnsi="標楷體" w:cs="Times New Roman" w:hint="eastAsia"/>
          <w:kern w:val="0"/>
          <w:szCs w:val="24"/>
        </w:rPr>
        <w:t>□□</w:t>
      </w:r>
      <w:r w:rsidRPr="00970A0B">
        <w:rPr>
          <w:rFonts w:ascii="Times New Roman" w:eastAsia="標楷體" w:hAnsi="Times New Roman" w:cs="Times New Roman"/>
          <w:kern w:val="0"/>
          <w:szCs w:val="24"/>
          <w:vertAlign w:val="superscript"/>
        </w:rPr>
        <w:t>2</w:t>
      </w:r>
      <w:r w:rsidRPr="00970A0B">
        <w:rPr>
          <w:rFonts w:ascii="Times New Roman" w:eastAsia="標楷體" w:hAnsi="Times New Roman" w:cs="Times New Roman"/>
          <w:kern w:val="0"/>
          <w:szCs w:val="24"/>
        </w:rPr>
        <w:t xml:space="preserve"> </w:t>
      </w:r>
      <w:r w:rsidR="007636CA" w:rsidRPr="007636CA">
        <w:rPr>
          <w:rFonts w:ascii="Times New Roman" w:hAnsi="Times New Roman" w:cs="Times New Roman"/>
          <w:color w:val="000000"/>
          <w:kern w:val="0"/>
          <w:szCs w:val="24"/>
          <w:lang w:val="en-GB"/>
        </w:rPr>
        <w:t>Kwok-</w:t>
      </w:r>
      <w:r w:rsidR="00F240AB">
        <w:rPr>
          <w:rFonts w:ascii="新細明體" w:eastAsia="新細明體" w:hAnsi="新細明體" w:cs="Times New Roman" w:hint="eastAsia"/>
          <w:color w:val="000000"/>
          <w:kern w:val="0"/>
          <w:szCs w:val="24"/>
          <w:lang w:val="en-GB"/>
        </w:rPr>
        <w:t>□□</w:t>
      </w:r>
      <w:r w:rsidR="00970A0B" w:rsidRPr="00970A0B">
        <w:rPr>
          <w:rFonts w:ascii="Times New Roman" w:eastAsia="標楷體" w:hAnsi="Times New Roman" w:cs="Times New Roman" w:hint="eastAsia"/>
          <w:kern w:val="0"/>
          <w:szCs w:val="24"/>
          <w:vertAlign w:val="superscript"/>
        </w:rPr>
        <w:t>2</w:t>
      </w:r>
      <w:r w:rsidRPr="00970A0B">
        <w:rPr>
          <w:rFonts w:ascii="Times New Roman" w:eastAsia="標楷體" w:hAnsi="Times New Roman" w:cs="Times New Roman"/>
          <w:kern w:val="0"/>
          <w:szCs w:val="24"/>
        </w:rPr>
        <w:t xml:space="preserve"> </w:t>
      </w:r>
      <w:r w:rsidRPr="00970A0B">
        <w:rPr>
          <w:rFonts w:ascii="Times New Roman" w:eastAsia="標楷體" w:hAnsi="Times New Roman" w:cs="Times New Roman"/>
          <w:kern w:val="0"/>
          <w:szCs w:val="24"/>
        </w:rPr>
        <w:t>楊</w:t>
      </w:r>
      <w:r w:rsidR="00F240AB">
        <w:rPr>
          <w:rFonts w:ascii="標楷體" w:eastAsia="標楷體" w:hAnsi="標楷體" w:cs="Times New Roman" w:hint="eastAsia"/>
          <w:kern w:val="0"/>
          <w:szCs w:val="24"/>
        </w:rPr>
        <w:t>□□</w:t>
      </w:r>
      <w:r w:rsidRPr="00970A0B">
        <w:rPr>
          <w:rFonts w:ascii="Times New Roman" w:eastAsia="標楷體" w:hAnsi="Times New Roman" w:cs="Times New Roman"/>
          <w:kern w:val="0"/>
          <w:szCs w:val="24"/>
          <w:vertAlign w:val="superscript"/>
        </w:rPr>
        <w:t>1</w:t>
      </w:r>
      <w:r w:rsidR="00755B03">
        <w:rPr>
          <w:rFonts w:ascii="Times New Roman" w:eastAsia="標楷體" w:hAnsi="Times New Roman" w:cs="Times New Roman" w:hint="eastAsia"/>
          <w:kern w:val="0"/>
          <w:szCs w:val="24"/>
          <w:vertAlign w:val="superscript"/>
        </w:rPr>
        <w:t>*</w:t>
      </w:r>
    </w:p>
    <w:p w:rsidR="002C0371" w:rsidRPr="002C0371" w:rsidRDefault="002C0371" w:rsidP="00970A0B">
      <w:pPr>
        <w:autoSpaceDE w:val="0"/>
        <w:autoSpaceDN w:val="0"/>
        <w:adjustRightInd w:val="0"/>
        <w:spacing w:line="240" w:lineRule="exact"/>
        <w:ind w:leftChars="-118" w:left="-283" w:rightChars="-82" w:right="-197"/>
        <w:jc w:val="center"/>
        <w:rPr>
          <w:rFonts w:ascii="Times New Roman" w:eastAsia="標楷體" w:hAnsi="Times New Roman" w:cs="Times New Roman"/>
          <w:kern w:val="0"/>
          <w:sz w:val="20"/>
          <w:szCs w:val="20"/>
        </w:rPr>
      </w:pPr>
      <w:r w:rsidRPr="002C0371">
        <w:rPr>
          <w:rFonts w:ascii="Times New Roman" w:eastAsia="標楷體" w:hAnsi="Times New Roman" w:cs="Times New Roman"/>
          <w:kern w:val="0"/>
          <w:sz w:val="20"/>
          <w:szCs w:val="20"/>
          <w:vertAlign w:val="superscript"/>
        </w:rPr>
        <w:t>1</w:t>
      </w:r>
      <w:r>
        <w:rPr>
          <w:rFonts w:ascii="Times New Roman" w:eastAsia="標楷體" w:hAnsi="Times New Roman" w:cs="Times New Roman" w:hint="eastAsia"/>
          <w:kern w:val="0"/>
          <w:sz w:val="20"/>
          <w:szCs w:val="20"/>
        </w:rPr>
        <w:t>高雄醫學</w:t>
      </w:r>
      <w:bookmarkStart w:id="0" w:name="_GoBack"/>
      <w:bookmarkEnd w:id="0"/>
      <w:r>
        <w:rPr>
          <w:rFonts w:ascii="Times New Roman" w:eastAsia="標楷體" w:hAnsi="Times New Roman" w:cs="Times New Roman" w:hint="eastAsia"/>
          <w:kern w:val="0"/>
          <w:sz w:val="20"/>
          <w:szCs w:val="20"/>
        </w:rPr>
        <w:t>大學藥學系</w:t>
      </w:r>
      <w:r w:rsidRPr="002C0371">
        <w:rPr>
          <w:rFonts w:ascii="Times New Roman" w:eastAsia="標楷體" w:hAnsi="Times New Roman" w:cs="Times New Roman"/>
          <w:kern w:val="0"/>
          <w:sz w:val="20"/>
          <w:szCs w:val="20"/>
        </w:rPr>
        <w:t xml:space="preserve"> </w:t>
      </w:r>
      <w:r w:rsidRPr="002C0371">
        <w:rPr>
          <w:rFonts w:ascii="Times New Roman" w:eastAsia="標楷體" w:hAnsi="Times New Roman" w:cs="Times New Roman"/>
          <w:kern w:val="0"/>
          <w:sz w:val="20"/>
          <w:szCs w:val="20"/>
          <w:vertAlign w:val="superscript"/>
        </w:rPr>
        <w:t>2</w:t>
      </w:r>
      <w:r w:rsidRPr="002C0371">
        <w:rPr>
          <w:rFonts w:ascii="Times New Roman" w:eastAsia="標楷體" w:hAnsi="Times New Roman" w:cs="Times New Roman"/>
          <w:kern w:val="0"/>
          <w:sz w:val="20"/>
          <w:szCs w:val="20"/>
        </w:rPr>
        <w:t>University of Nottingham, United Kingdom</w:t>
      </w:r>
    </w:p>
    <w:p w:rsidR="00392A2A" w:rsidRPr="002C0371" w:rsidRDefault="002C0371" w:rsidP="004D1692">
      <w:pPr>
        <w:spacing w:beforeLines="25" w:line="240" w:lineRule="exact"/>
        <w:ind w:leftChars="-118" w:left="-283" w:rightChars="-82" w:right="-197"/>
        <w:rPr>
          <w:rFonts w:ascii="Times New Roman" w:eastAsia="標楷體" w:hAnsi="Times New Roman" w:cs="Times New Roman"/>
          <w:sz w:val="20"/>
          <w:szCs w:val="20"/>
        </w:rPr>
      </w:pPr>
      <w:r w:rsidRPr="002C0371">
        <w:rPr>
          <w:rFonts w:ascii="Times New Roman" w:eastAsia="標楷體" w:hAnsi="Times New Roman" w:cs="Times New Roman"/>
          <w:b/>
          <w:kern w:val="0"/>
          <w:sz w:val="20"/>
          <w:szCs w:val="20"/>
        </w:rPr>
        <w:t>Objectives:</w:t>
      </w:r>
      <w:r w:rsidRPr="002C0371">
        <w:rPr>
          <w:rFonts w:ascii="Times New Roman" w:eastAsia="標楷體" w:hAnsi="Times New Roman" w:cs="Times New Roman"/>
          <w:kern w:val="0"/>
          <w:sz w:val="20"/>
          <w:szCs w:val="20"/>
        </w:rPr>
        <w:t xml:space="preserve"> The aim of this study is to explore the associations between the HT switched and the interruption of HT in breast cancer (BC) women while considering the mortality and recurrence as competing risks (CR) in the survival analysis.</w:t>
      </w:r>
      <w:r w:rsidR="00970A0B">
        <w:rPr>
          <w:rFonts w:ascii="Times New Roman" w:eastAsia="標楷體" w:hAnsi="Times New Roman" w:cs="Times New Roman" w:hint="eastAsia"/>
          <w:kern w:val="0"/>
          <w:sz w:val="20"/>
          <w:szCs w:val="20"/>
        </w:rPr>
        <w:t xml:space="preserve"> </w:t>
      </w:r>
      <w:r w:rsidRPr="002C0371">
        <w:rPr>
          <w:rFonts w:ascii="Times New Roman" w:eastAsia="標楷體" w:hAnsi="Times New Roman" w:cs="Times New Roman"/>
          <w:b/>
          <w:kern w:val="0"/>
          <w:sz w:val="20"/>
          <w:szCs w:val="20"/>
        </w:rPr>
        <w:t xml:space="preserve">Methods: </w:t>
      </w:r>
      <w:r w:rsidRPr="002C0371">
        <w:rPr>
          <w:rFonts w:ascii="Times New Roman" w:eastAsia="標楷體" w:hAnsi="Times New Roman" w:cs="Times New Roman"/>
          <w:kern w:val="0"/>
          <w:sz w:val="20"/>
          <w:szCs w:val="20"/>
        </w:rPr>
        <w:t>This study was conducted by using the Taiwan Health Insurance Research Database from 2003 to 2011. Treatment interruption was defined</w:t>
      </w:r>
      <w:r w:rsidRPr="002C0371">
        <w:rPr>
          <w:rFonts w:ascii="Times New Roman" w:eastAsia="標楷體" w:hAnsi="Times New Roman" w:cs="Times New Roman"/>
          <w:sz w:val="20"/>
          <w:szCs w:val="20"/>
        </w:rPr>
        <w:t xml:space="preserve"> as over 180 days between two HT prescription coverages. </w:t>
      </w:r>
      <w:r w:rsidRPr="002C0371">
        <w:rPr>
          <w:rFonts w:ascii="Times New Roman" w:eastAsia="標楷體" w:hAnsi="Times New Roman" w:cs="Times New Roman"/>
          <w:kern w:val="0"/>
          <w:sz w:val="20"/>
          <w:szCs w:val="20"/>
        </w:rPr>
        <w:t xml:space="preserve">Initial HT and switched HT before the first interruption were identified along with HT </w:t>
      </w:r>
      <w:r w:rsidRPr="002C0371">
        <w:rPr>
          <w:rFonts w:ascii="Times New Roman" w:eastAsia="標楷體" w:hAnsi="Times New Roman" w:cs="Times New Roman"/>
          <w:sz w:val="20"/>
          <w:szCs w:val="20"/>
        </w:rPr>
        <w:t>prescriptions. The estimated probabilities of interruption were performed by using Kaplan-Meier survival analysis and competing risk analysis.</w:t>
      </w:r>
      <w:r w:rsidRPr="002C0371">
        <w:rPr>
          <w:rFonts w:ascii="Times New Roman" w:eastAsia="標楷體" w:hAnsi="Times New Roman" w:cs="Times New Roman"/>
          <w:kern w:val="0"/>
          <w:sz w:val="20"/>
          <w:szCs w:val="20"/>
        </w:rPr>
        <w:t xml:space="preserve"> Hazard ratios (HR) of interruption were estimated by </w:t>
      </w:r>
      <w:r w:rsidR="00970A0B">
        <w:rPr>
          <w:rFonts w:ascii="Times New Roman" w:eastAsia="標楷體" w:hAnsi="Times New Roman" w:cs="Times New Roman" w:hint="eastAsia"/>
          <w:kern w:val="0"/>
          <w:sz w:val="20"/>
          <w:szCs w:val="20"/>
        </w:rPr>
        <w:t xml:space="preserve">the </w:t>
      </w:r>
      <w:r w:rsidRPr="002C0371">
        <w:rPr>
          <w:rFonts w:ascii="Times New Roman" w:eastAsia="標楷體" w:hAnsi="Times New Roman" w:cs="Times New Roman"/>
          <w:kern w:val="0"/>
          <w:sz w:val="20"/>
          <w:szCs w:val="20"/>
        </w:rPr>
        <w:t>modified Cox regression with covariates.</w:t>
      </w:r>
      <w:r w:rsidR="00970A0B">
        <w:rPr>
          <w:rFonts w:ascii="Times New Roman" w:eastAsia="標楷體" w:hAnsi="Times New Roman" w:cs="Times New Roman" w:hint="eastAsia"/>
          <w:kern w:val="0"/>
          <w:sz w:val="20"/>
          <w:szCs w:val="20"/>
        </w:rPr>
        <w:t xml:space="preserve"> </w:t>
      </w:r>
      <w:r w:rsidRPr="002C0371">
        <w:rPr>
          <w:rFonts w:ascii="Times New Roman" w:eastAsia="標楷體" w:hAnsi="Times New Roman" w:cs="Times New Roman"/>
          <w:b/>
          <w:kern w:val="0"/>
          <w:sz w:val="20"/>
          <w:szCs w:val="20"/>
        </w:rPr>
        <w:t xml:space="preserve">Results: </w:t>
      </w:r>
      <w:r w:rsidRPr="002C0371">
        <w:rPr>
          <w:rFonts w:ascii="Times New Roman" w:eastAsia="標楷體" w:hAnsi="Times New Roman" w:cs="Times New Roman"/>
          <w:kern w:val="0"/>
          <w:sz w:val="20"/>
          <w:szCs w:val="20"/>
        </w:rPr>
        <w:t xml:space="preserve">Of the </w:t>
      </w:r>
      <w:r w:rsidRPr="002C0371">
        <w:rPr>
          <w:rFonts w:ascii="Times New Roman" w:eastAsia="標楷體" w:hAnsi="Times New Roman" w:cs="Times New Roman"/>
          <w:color w:val="000000"/>
          <w:kern w:val="0"/>
          <w:sz w:val="20"/>
          <w:szCs w:val="20"/>
        </w:rPr>
        <w:t>37,391</w:t>
      </w:r>
      <w:r w:rsidRPr="002C0371">
        <w:rPr>
          <w:rFonts w:ascii="Times New Roman" w:eastAsia="標楷體" w:hAnsi="Times New Roman" w:cs="Times New Roman"/>
          <w:kern w:val="0"/>
          <w:sz w:val="20"/>
          <w:szCs w:val="20"/>
        </w:rPr>
        <w:t xml:space="preserve"> patients, 64.9% and 20.7% initiated TAM without and with switched, 9.9% and 4.6% initiated AIs with and without switched. </w:t>
      </w:r>
      <w:r w:rsidRPr="002C0371">
        <w:rPr>
          <w:rFonts w:ascii="Times New Roman" w:eastAsia="標楷體" w:hAnsi="Times New Roman" w:cs="Times New Roman"/>
          <w:sz w:val="20"/>
          <w:szCs w:val="20"/>
          <w:lang w:val="en-GB"/>
        </w:rPr>
        <w:t>Patients who experienced HT switched and AIs as initiated HT, the probability of interruption in Kaplan-Meier analysis was overestimat</w:t>
      </w:r>
      <w:r w:rsidR="00970A0B">
        <w:rPr>
          <w:rFonts w:ascii="Times New Roman" w:eastAsia="標楷體" w:hAnsi="Times New Roman" w:cs="Times New Roman" w:hint="eastAsia"/>
          <w:sz w:val="20"/>
          <w:szCs w:val="20"/>
          <w:lang w:val="en-GB"/>
        </w:rPr>
        <w:t>ed</w:t>
      </w:r>
      <w:r w:rsidRPr="002C0371">
        <w:rPr>
          <w:rFonts w:ascii="Times New Roman" w:eastAsia="標楷體" w:hAnsi="Times New Roman" w:cs="Times New Roman"/>
          <w:sz w:val="20"/>
          <w:szCs w:val="20"/>
          <w:lang w:val="en-GB"/>
        </w:rPr>
        <w:t xml:space="preserve"> around 10% of discrepancy while compared to CR analysis at 5 years. The </w:t>
      </w:r>
      <w:r w:rsidR="00970A0B">
        <w:rPr>
          <w:rFonts w:ascii="Times New Roman" w:eastAsia="標楷體" w:hAnsi="Times New Roman" w:cs="Times New Roman" w:hint="eastAsia"/>
          <w:sz w:val="20"/>
          <w:szCs w:val="20"/>
          <w:lang w:val="en-GB"/>
        </w:rPr>
        <w:t>S</w:t>
      </w:r>
      <w:r w:rsidRPr="002C0371">
        <w:rPr>
          <w:rFonts w:ascii="Times New Roman" w:eastAsia="標楷體" w:hAnsi="Times New Roman" w:cs="Times New Roman"/>
          <w:kern w:val="0"/>
          <w:sz w:val="20"/>
          <w:szCs w:val="20"/>
        </w:rPr>
        <w:t>HRs of modified Cox regression</w:t>
      </w:r>
      <w:r w:rsidRPr="002C0371">
        <w:rPr>
          <w:rFonts w:ascii="Times New Roman" w:eastAsia="標楷體" w:hAnsi="Times New Roman" w:cs="Times New Roman"/>
          <w:sz w:val="20"/>
          <w:szCs w:val="20"/>
          <w:lang w:val="en-GB"/>
        </w:rPr>
        <w:t xml:space="preserve"> were 1.54 (95%CI=1.40-1.69) in Tam with switched; 1.55 (95%CI=1.33-1.82) in AIs with switched</w:t>
      </w:r>
      <w:r w:rsidRPr="002C0371">
        <w:rPr>
          <w:rFonts w:ascii="Times New Roman" w:eastAsia="標楷體" w:hAnsi="Times New Roman" w:cs="Times New Roman"/>
          <w:kern w:val="0"/>
          <w:sz w:val="20"/>
          <w:szCs w:val="20"/>
        </w:rPr>
        <w:t xml:space="preserve">, respectively. </w:t>
      </w:r>
      <w:r w:rsidRPr="002C0371">
        <w:rPr>
          <w:rFonts w:ascii="Times New Roman" w:eastAsia="標楷體" w:hAnsi="Times New Roman" w:cs="Times New Roman"/>
          <w:b/>
          <w:kern w:val="0"/>
          <w:sz w:val="20"/>
          <w:szCs w:val="20"/>
        </w:rPr>
        <w:t>Conclusions:</w:t>
      </w:r>
      <w:r w:rsidRPr="002C0371">
        <w:rPr>
          <w:rFonts w:ascii="Times New Roman" w:eastAsia="標楷體" w:hAnsi="Times New Roman" w:cs="Times New Roman"/>
          <w:kern w:val="0"/>
          <w:sz w:val="20"/>
          <w:szCs w:val="20"/>
        </w:rPr>
        <w:t xml:space="preserve"> Our results indicated HT switched may increase the risk of interruption, however, when competing risk events exist, absolute risk of interruption might be overestimated in standard</w:t>
      </w:r>
      <w:r w:rsidRPr="002C0371">
        <w:rPr>
          <w:rFonts w:ascii="Times New Roman" w:eastAsia="標楷體" w:hAnsi="Times New Roman" w:cs="Times New Roman"/>
          <w:sz w:val="20"/>
          <w:szCs w:val="20"/>
        </w:rPr>
        <w:t xml:space="preserve"> survival analysis</w:t>
      </w:r>
      <w:r w:rsidRPr="002C0371">
        <w:rPr>
          <w:rFonts w:ascii="Times New Roman" w:eastAsia="標楷體" w:hAnsi="Times New Roman" w:cs="Times New Roman"/>
          <w:kern w:val="0"/>
          <w:sz w:val="20"/>
          <w:szCs w:val="20"/>
        </w:rPr>
        <w:t>. This study provides the opportunity to have more accrued measurement of patient intended interruption in BC women.</w:t>
      </w:r>
    </w:p>
    <w:sectPr w:rsidR="00392A2A" w:rsidRPr="002C0371" w:rsidSect="00DB4EF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6D4" w:rsidRDefault="002206D4" w:rsidP="00D356AE">
      <w:r>
        <w:separator/>
      </w:r>
    </w:p>
  </w:endnote>
  <w:endnote w:type="continuationSeparator" w:id="0">
    <w:p w:rsidR="002206D4" w:rsidRDefault="002206D4" w:rsidP="00D35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6D4" w:rsidRDefault="002206D4" w:rsidP="00D356AE">
      <w:r>
        <w:separator/>
      </w:r>
    </w:p>
  </w:footnote>
  <w:footnote w:type="continuationSeparator" w:id="0">
    <w:p w:rsidR="002206D4" w:rsidRDefault="002206D4" w:rsidP="00D356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8601B5"/>
    <w:multiLevelType w:val="hybridMultilevel"/>
    <w:tmpl w:val="4DF8BA56"/>
    <w:lvl w:ilvl="0" w:tplc="085E50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2A2A"/>
    <w:rsid w:val="00165D53"/>
    <w:rsid w:val="002206D4"/>
    <w:rsid w:val="002449C8"/>
    <w:rsid w:val="00290BDB"/>
    <w:rsid w:val="002C0371"/>
    <w:rsid w:val="002C5DFA"/>
    <w:rsid w:val="00392A2A"/>
    <w:rsid w:val="003C67F8"/>
    <w:rsid w:val="00454ABC"/>
    <w:rsid w:val="004D1692"/>
    <w:rsid w:val="005E39FF"/>
    <w:rsid w:val="006061EE"/>
    <w:rsid w:val="00693D23"/>
    <w:rsid w:val="00701B25"/>
    <w:rsid w:val="00755B03"/>
    <w:rsid w:val="007636CA"/>
    <w:rsid w:val="007B7B89"/>
    <w:rsid w:val="00970A0B"/>
    <w:rsid w:val="00A17C4C"/>
    <w:rsid w:val="00AE3523"/>
    <w:rsid w:val="00C92EF7"/>
    <w:rsid w:val="00D356AE"/>
    <w:rsid w:val="00D80EBC"/>
    <w:rsid w:val="00DB4EF4"/>
    <w:rsid w:val="00E1443A"/>
    <w:rsid w:val="00F240AB"/>
    <w:rsid w:val="00F950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F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2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楷"/>
    <w:basedOn w:val="a5"/>
    <w:rsid w:val="00392A2A"/>
    <w:pPr>
      <w:spacing w:line="300" w:lineRule="atLeast"/>
      <w:ind w:leftChars="0" w:left="95" w:rightChars="100" w:right="95"/>
    </w:pPr>
    <w:rPr>
      <w:rFonts w:ascii="Times New Roman" w:eastAsia="標楷體" w:hAnsi="Times New Roman" w:cs="Times New Roman"/>
      <w:szCs w:val="24"/>
    </w:rPr>
  </w:style>
  <w:style w:type="paragraph" w:customStyle="1" w:styleId="a6">
    <w:name w:val="內文縮"/>
    <w:basedOn w:val="a5"/>
    <w:rsid w:val="00392A2A"/>
    <w:pPr>
      <w:spacing w:line="220" w:lineRule="exact"/>
      <w:ind w:leftChars="100" w:left="200" w:hangingChars="100" w:hanging="100"/>
    </w:pPr>
    <w:rPr>
      <w:rFonts w:ascii="Times New Roman" w:eastAsia="新細明體" w:hAnsi="Times New Roman" w:cs="Times New Roman"/>
      <w:sz w:val="18"/>
      <w:szCs w:val="24"/>
    </w:rPr>
  </w:style>
  <w:style w:type="paragraph" w:styleId="a5">
    <w:name w:val="Normal Indent"/>
    <w:aliases w:val="縮排"/>
    <w:basedOn w:val="a"/>
    <w:unhideWhenUsed/>
    <w:rsid w:val="00392A2A"/>
    <w:pPr>
      <w:ind w:leftChars="200" w:left="480"/>
    </w:pPr>
  </w:style>
  <w:style w:type="paragraph" w:styleId="a7">
    <w:name w:val="Balloon Text"/>
    <w:basedOn w:val="a"/>
    <w:link w:val="a8"/>
    <w:uiPriority w:val="99"/>
    <w:semiHidden/>
    <w:unhideWhenUsed/>
    <w:rsid w:val="00C92EF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92EF7"/>
    <w:rPr>
      <w:rFonts w:asciiTheme="majorHAnsi" w:eastAsiaTheme="majorEastAsia" w:hAnsiTheme="majorHAnsi" w:cstheme="majorBidi"/>
      <w:sz w:val="18"/>
      <w:szCs w:val="18"/>
    </w:rPr>
  </w:style>
  <w:style w:type="paragraph" w:styleId="a9">
    <w:name w:val="header"/>
    <w:basedOn w:val="a"/>
    <w:link w:val="aa"/>
    <w:uiPriority w:val="99"/>
    <w:unhideWhenUsed/>
    <w:rsid w:val="00D356AE"/>
    <w:pPr>
      <w:tabs>
        <w:tab w:val="center" w:pos="4153"/>
        <w:tab w:val="right" w:pos="8306"/>
      </w:tabs>
      <w:snapToGrid w:val="0"/>
    </w:pPr>
    <w:rPr>
      <w:sz w:val="20"/>
      <w:szCs w:val="20"/>
    </w:rPr>
  </w:style>
  <w:style w:type="character" w:customStyle="1" w:styleId="aa">
    <w:name w:val="頁首 字元"/>
    <w:basedOn w:val="a0"/>
    <w:link w:val="a9"/>
    <w:uiPriority w:val="99"/>
    <w:rsid w:val="00D356AE"/>
    <w:rPr>
      <w:sz w:val="20"/>
      <w:szCs w:val="20"/>
    </w:rPr>
  </w:style>
  <w:style w:type="paragraph" w:styleId="ab">
    <w:name w:val="footer"/>
    <w:basedOn w:val="a"/>
    <w:link w:val="ac"/>
    <w:uiPriority w:val="99"/>
    <w:unhideWhenUsed/>
    <w:rsid w:val="00D356AE"/>
    <w:pPr>
      <w:tabs>
        <w:tab w:val="center" w:pos="4153"/>
        <w:tab w:val="right" w:pos="8306"/>
      </w:tabs>
      <w:snapToGrid w:val="0"/>
    </w:pPr>
    <w:rPr>
      <w:sz w:val="20"/>
      <w:szCs w:val="20"/>
    </w:rPr>
  </w:style>
  <w:style w:type="character" w:customStyle="1" w:styleId="ac">
    <w:name w:val="頁尾 字元"/>
    <w:basedOn w:val="a0"/>
    <w:link w:val="ab"/>
    <w:uiPriority w:val="99"/>
    <w:rsid w:val="00D356AE"/>
    <w:rPr>
      <w:sz w:val="20"/>
      <w:szCs w:val="20"/>
    </w:rPr>
  </w:style>
  <w:style w:type="character" w:styleId="ad">
    <w:name w:val="annotation reference"/>
    <w:semiHidden/>
    <w:rsid w:val="00E1443A"/>
    <w:rPr>
      <w:sz w:val="18"/>
      <w:szCs w:val="18"/>
    </w:rPr>
  </w:style>
  <w:style w:type="paragraph" w:styleId="ae">
    <w:name w:val="annotation text"/>
    <w:basedOn w:val="a"/>
    <w:link w:val="af"/>
    <w:semiHidden/>
    <w:rsid w:val="00E1443A"/>
    <w:rPr>
      <w:rFonts w:ascii="Times New Roman" w:eastAsia="標楷體" w:hAnsi="Times New Roman" w:cs="Times New Roman"/>
    </w:rPr>
  </w:style>
  <w:style w:type="character" w:customStyle="1" w:styleId="af">
    <w:name w:val="註解文字 字元"/>
    <w:basedOn w:val="a0"/>
    <w:link w:val="ae"/>
    <w:uiPriority w:val="99"/>
    <w:semiHidden/>
    <w:rsid w:val="00E1443A"/>
    <w:rPr>
      <w:rFonts w:ascii="Times New Roman" w:eastAsia="標楷體"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2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楷"/>
    <w:basedOn w:val="a5"/>
    <w:rsid w:val="00392A2A"/>
    <w:pPr>
      <w:spacing w:line="300" w:lineRule="atLeast"/>
      <w:ind w:leftChars="0" w:left="95" w:rightChars="100" w:right="95"/>
    </w:pPr>
    <w:rPr>
      <w:rFonts w:ascii="Times New Roman" w:eastAsia="標楷體" w:hAnsi="Times New Roman" w:cs="Times New Roman"/>
      <w:szCs w:val="24"/>
    </w:rPr>
  </w:style>
  <w:style w:type="paragraph" w:customStyle="1" w:styleId="a6">
    <w:name w:val="內文縮"/>
    <w:basedOn w:val="a5"/>
    <w:rsid w:val="00392A2A"/>
    <w:pPr>
      <w:spacing w:line="220" w:lineRule="exact"/>
      <w:ind w:leftChars="100" w:left="200" w:hangingChars="100" w:hanging="100"/>
    </w:pPr>
    <w:rPr>
      <w:rFonts w:ascii="Times New Roman" w:eastAsia="新細明體" w:hAnsi="Times New Roman" w:cs="Times New Roman"/>
      <w:sz w:val="18"/>
      <w:szCs w:val="24"/>
    </w:rPr>
  </w:style>
  <w:style w:type="paragraph" w:styleId="a5">
    <w:name w:val="Normal Indent"/>
    <w:aliases w:val="縮排"/>
    <w:basedOn w:val="a"/>
    <w:unhideWhenUsed/>
    <w:rsid w:val="00392A2A"/>
    <w:pPr>
      <w:ind w:leftChars="200" w:left="480"/>
    </w:pPr>
  </w:style>
  <w:style w:type="paragraph" w:styleId="a7">
    <w:name w:val="Balloon Text"/>
    <w:basedOn w:val="a"/>
    <w:link w:val="a8"/>
    <w:uiPriority w:val="99"/>
    <w:semiHidden/>
    <w:unhideWhenUsed/>
    <w:rsid w:val="00C92EF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92EF7"/>
    <w:rPr>
      <w:rFonts w:asciiTheme="majorHAnsi" w:eastAsiaTheme="majorEastAsia" w:hAnsiTheme="majorHAnsi" w:cstheme="majorBidi"/>
      <w:sz w:val="18"/>
      <w:szCs w:val="18"/>
    </w:rPr>
  </w:style>
  <w:style w:type="paragraph" w:styleId="a9">
    <w:name w:val="header"/>
    <w:basedOn w:val="a"/>
    <w:link w:val="aa"/>
    <w:uiPriority w:val="99"/>
    <w:unhideWhenUsed/>
    <w:rsid w:val="00D356AE"/>
    <w:pPr>
      <w:tabs>
        <w:tab w:val="center" w:pos="4153"/>
        <w:tab w:val="right" w:pos="8306"/>
      </w:tabs>
      <w:snapToGrid w:val="0"/>
    </w:pPr>
    <w:rPr>
      <w:sz w:val="20"/>
      <w:szCs w:val="20"/>
    </w:rPr>
  </w:style>
  <w:style w:type="character" w:customStyle="1" w:styleId="aa">
    <w:name w:val="頁首 字元"/>
    <w:basedOn w:val="a0"/>
    <w:link w:val="a9"/>
    <w:uiPriority w:val="99"/>
    <w:rsid w:val="00D356AE"/>
    <w:rPr>
      <w:sz w:val="20"/>
      <w:szCs w:val="20"/>
    </w:rPr>
  </w:style>
  <w:style w:type="paragraph" w:styleId="ab">
    <w:name w:val="footer"/>
    <w:basedOn w:val="a"/>
    <w:link w:val="ac"/>
    <w:uiPriority w:val="99"/>
    <w:unhideWhenUsed/>
    <w:rsid w:val="00D356AE"/>
    <w:pPr>
      <w:tabs>
        <w:tab w:val="center" w:pos="4153"/>
        <w:tab w:val="right" w:pos="8306"/>
      </w:tabs>
      <w:snapToGrid w:val="0"/>
    </w:pPr>
    <w:rPr>
      <w:sz w:val="20"/>
      <w:szCs w:val="20"/>
    </w:rPr>
  </w:style>
  <w:style w:type="character" w:customStyle="1" w:styleId="ac">
    <w:name w:val="頁尾 字元"/>
    <w:basedOn w:val="a0"/>
    <w:link w:val="ab"/>
    <w:uiPriority w:val="99"/>
    <w:rsid w:val="00D356AE"/>
    <w:rPr>
      <w:sz w:val="20"/>
      <w:szCs w:val="20"/>
    </w:rPr>
  </w:style>
  <w:style w:type="character" w:styleId="ad">
    <w:name w:val="annotation reference"/>
    <w:semiHidden/>
    <w:rsid w:val="00E1443A"/>
    <w:rPr>
      <w:sz w:val="18"/>
      <w:szCs w:val="18"/>
    </w:rPr>
  </w:style>
  <w:style w:type="paragraph" w:styleId="ae">
    <w:name w:val="annotation text"/>
    <w:basedOn w:val="a"/>
    <w:link w:val="af"/>
    <w:semiHidden/>
    <w:rsid w:val="00E1443A"/>
    <w:rPr>
      <w:rFonts w:ascii="Times New Roman" w:eastAsia="標楷體" w:hAnsi="Times New Roman" w:cs="Times New Roman"/>
    </w:rPr>
  </w:style>
  <w:style w:type="character" w:customStyle="1" w:styleId="af">
    <w:name w:val="註解文字 字元"/>
    <w:basedOn w:val="a0"/>
    <w:link w:val="ae"/>
    <w:uiPriority w:val="99"/>
    <w:semiHidden/>
    <w:rsid w:val="00E1443A"/>
    <w:rPr>
      <w:rFonts w:ascii="Times New Roman" w:eastAsia="標楷體" w:hAnsi="Times New Roman" w:cs="Times New Roman"/>
    </w:rPr>
  </w:style>
</w:styles>
</file>

<file path=word/webSettings.xml><?xml version="1.0" encoding="utf-8"?>
<w:webSettings xmlns:r="http://schemas.openxmlformats.org/officeDocument/2006/relationships" xmlns:w="http://schemas.openxmlformats.org/wordprocessingml/2006/main">
  <w:divs>
    <w:div w:id="204952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YHYang</dc:creator>
  <cp:lastModifiedBy>root</cp:lastModifiedBy>
  <cp:revision>11</cp:revision>
  <dcterms:created xsi:type="dcterms:W3CDTF">2014-10-08T09:40:00Z</dcterms:created>
  <dcterms:modified xsi:type="dcterms:W3CDTF">2014-10-09T08:29:00Z</dcterms:modified>
</cp:coreProperties>
</file>